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E" w:rsidRDefault="0071323E" w:rsidP="0071323E">
      <w:pPr>
        <w:ind w:left="360"/>
        <w:jc w:val="center"/>
        <w:rPr>
          <w:b/>
          <w:szCs w:val="28"/>
        </w:rPr>
      </w:pPr>
      <w:r>
        <w:rPr>
          <w:b/>
          <w:szCs w:val="28"/>
        </w:rPr>
        <w:t>Экзаменационные вопросы</w:t>
      </w:r>
    </w:p>
    <w:p w:rsidR="0071323E" w:rsidRDefault="0071323E" w:rsidP="0071323E">
      <w:pPr>
        <w:jc w:val="both"/>
        <w:rPr>
          <w:szCs w:val="28"/>
        </w:rPr>
      </w:pP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1 Теоретические основы и практическое использование интегрированной защиты растений.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2 Современные принципы построения интегрированных систем в защите растений.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3 Роль и значение агротехнического метода в системе защиты растений.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4 Создание и использование устойчивых к болезням и вредителям сортов сельскохозяйственных культур.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5 Роль и значение севооборота в интегрированной защите растений.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6 Влияние обработки почвы и уничтожение растительных остатков на сохранение вредных объектов.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7 Борьба с сорняками, как звено в борьбе с болезнями и вредителями сельскохозяйственных культур.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8 Роль и значение удобрений в интегрированной защите растений.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9 Роль и значение сроков посева и уборки в интегрированной защите растений.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10 Биологический метод защиты растений от вредителей и болезней и его место в интегрированной защите растений.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11 Основные формы взаимоотношений между организмами.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12 Основные группы естественных врагов вредных насекомых.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13 Болезни насекомых. Их значение и использование в интегрированной защите растений.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14 Паразитические и хищные насекомые. Их значение и использование в интегрированной защите растений.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15 Сущность и использование механического метода в борьбе с вредными объектами.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16 Сущность и использование физического метода в борьбе с вредными объектами.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17 Значение химического метода защиты растений.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18 Характеристика основных документов, применяемых в защите растений: «Закон о защите растений», «Закон о карантине растений», «Список пестицидов …» и др.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19 Способы применения пестицидов.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20 Общая характеристика машин для внесения пестицидов.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21 Протравливание семян. Назначение. Способы.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22 Гигиеническая классификация пестицидов по степени опасности.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23 Сущность регламента применения пестицидов. Понятия: концентрация, норма расхода, объект и срок применения.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24 Резистентность вредных организмов к пестицидам.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25 Токсичность пестицидов для вредных организмов.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26 Меры безопасности при хранении, отпуске и перевозке пестицидов.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27 Меры безопасности при использовании пестицидов. Охрана природы.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28 Обеззараживание транспортных средств, оборудования, тары, спецодежды.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lastRenderedPageBreak/>
        <w:t>29 Средства индивидуальной защиты. Правила личной гигиены.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30 Классификация пестицидов по объектам применения.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31 Классификация пестицидов по способу проникновения.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 xml:space="preserve">32 Характеристика </w:t>
      </w:r>
      <w:proofErr w:type="spellStart"/>
      <w:r>
        <w:rPr>
          <w:szCs w:val="28"/>
        </w:rPr>
        <w:t>препаративных</w:t>
      </w:r>
      <w:proofErr w:type="spellEnd"/>
      <w:r>
        <w:rPr>
          <w:szCs w:val="28"/>
        </w:rPr>
        <w:t xml:space="preserve"> форм пестицидов.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33 Классификация инсектицидов по химическому составу.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34 Классификация фунгицидов по химическому составу.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35 Классификация гербицидов по химическому составу.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36 Характеристика и применение препаратов для предпосевной обработки семян.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37 Характеристика фунгицидов, применяемых в период вегетации растений.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38 Характеристика и применение родентицидов.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39 Характеристика и применение фумигантов.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40 Характеристика и применение десикантов и дефолиантов.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41 Характеристика инсектицидов из группы фосфорорганических соединений.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 xml:space="preserve">42 Характеристика инсектицидов из группы </w:t>
      </w:r>
      <w:proofErr w:type="spellStart"/>
      <w:r>
        <w:rPr>
          <w:szCs w:val="28"/>
        </w:rPr>
        <w:t>пиретроидов</w:t>
      </w:r>
      <w:proofErr w:type="spellEnd"/>
      <w:r>
        <w:rPr>
          <w:szCs w:val="28"/>
        </w:rPr>
        <w:t>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 xml:space="preserve">43 Характеристика инсектицидов из группы </w:t>
      </w:r>
      <w:proofErr w:type="spellStart"/>
      <w:r>
        <w:rPr>
          <w:szCs w:val="28"/>
        </w:rPr>
        <w:t>неоникатиноидов</w:t>
      </w:r>
      <w:proofErr w:type="spellEnd"/>
      <w:r>
        <w:rPr>
          <w:szCs w:val="28"/>
        </w:rPr>
        <w:t>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 xml:space="preserve">44 Характеристика фунгицидов из группы </w:t>
      </w:r>
      <w:proofErr w:type="spellStart"/>
      <w:r>
        <w:rPr>
          <w:szCs w:val="28"/>
        </w:rPr>
        <w:t>бензимидазолов</w:t>
      </w:r>
      <w:proofErr w:type="spellEnd"/>
      <w:r>
        <w:rPr>
          <w:szCs w:val="28"/>
        </w:rPr>
        <w:t>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 xml:space="preserve">45 Характеристика фунгицидов из группы </w:t>
      </w:r>
      <w:proofErr w:type="spellStart"/>
      <w:r>
        <w:rPr>
          <w:szCs w:val="28"/>
        </w:rPr>
        <w:t>азолов</w:t>
      </w:r>
      <w:proofErr w:type="spellEnd"/>
      <w:r>
        <w:rPr>
          <w:szCs w:val="28"/>
        </w:rPr>
        <w:t>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 xml:space="preserve">46 Характеристика фунгицидов из группы </w:t>
      </w:r>
      <w:proofErr w:type="spellStart"/>
      <w:r>
        <w:rPr>
          <w:szCs w:val="28"/>
        </w:rPr>
        <w:t>карбоксинов</w:t>
      </w:r>
      <w:proofErr w:type="spellEnd"/>
      <w:r>
        <w:rPr>
          <w:szCs w:val="28"/>
        </w:rPr>
        <w:t>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47 Характеристика гербицидов селективного действия.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48 Характеристика гербицидов сплошного действия.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49 Характеристика гербицидов почвенного действия.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 xml:space="preserve">50 Характеристика гербицидов – </w:t>
      </w:r>
      <w:proofErr w:type="spellStart"/>
      <w:r>
        <w:rPr>
          <w:szCs w:val="28"/>
        </w:rPr>
        <w:t>граминицидов</w:t>
      </w:r>
      <w:proofErr w:type="spellEnd"/>
      <w:r>
        <w:rPr>
          <w:szCs w:val="28"/>
        </w:rPr>
        <w:t>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 xml:space="preserve">51 Характеристика гербицидов, производных </w:t>
      </w:r>
      <w:proofErr w:type="spellStart"/>
      <w:r>
        <w:rPr>
          <w:szCs w:val="28"/>
        </w:rPr>
        <w:t>сульфонилмочевины</w:t>
      </w:r>
      <w:proofErr w:type="spellEnd"/>
      <w:r>
        <w:rPr>
          <w:szCs w:val="28"/>
        </w:rPr>
        <w:t>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 xml:space="preserve">52 Характеристика гербицидов, производных 2,4 – Д. 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53 Комплексное применение пестицидов. Баковые смеси.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54 Определение биологической и хозяйственной эффективности пестицидов.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5</w:t>
      </w:r>
      <w:bookmarkStart w:id="0" w:name="_GoBack"/>
      <w:bookmarkEnd w:id="0"/>
      <w:r>
        <w:rPr>
          <w:szCs w:val="28"/>
        </w:rPr>
        <w:t>5 Система мероприятий по защите зерновых культур.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56 Система мероприятий по защите крестоцветных культур.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57 Система мероприятий по защите овощных культур и картофеля.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58 Система мероприятий по защите свеклы.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59 Система мероприятий по защите плодово-ягодных культур.</w:t>
      </w:r>
    </w:p>
    <w:p w:rsidR="0071323E" w:rsidRDefault="0071323E" w:rsidP="0071323E">
      <w:pPr>
        <w:ind w:left="360"/>
        <w:jc w:val="both"/>
        <w:rPr>
          <w:szCs w:val="28"/>
        </w:rPr>
      </w:pPr>
      <w:r>
        <w:rPr>
          <w:szCs w:val="28"/>
        </w:rPr>
        <w:t>60 Принципы карантинных мероприятий.</w:t>
      </w:r>
    </w:p>
    <w:p w:rsidR="0071323E" w:rsidRDefault="0071323E" w:rsidP="0071323E"/>
    <w:p w:rsidR="0071323E" w:rsidRDefault="0071323E" w:rsidP="0071323E"/>
    <w:p w:rsidR="00022590" w:rsidRDefault="00022590"/>
    <w:sectPr w:rsidR="00022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FC"/>
    <w:rsid w:val="00022590"/>
    <w:rsid w:val="0071323E"/>
    <w:rsid w:val="00D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2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2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8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3300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2017-10-03T12:20:00Z</dcterms:created>
  <dcterms:modified xsi:type="dcterms:W3CDTF">2017-10-03T12:20:00Z</dcterms:modified>
</cp:coreProperties>
</file>